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FC6F" w14:textId="72D2B94B" w:rsidR="003E164B" w:rsidRDefault="003E164B" w:rsidP="003E164B">
      <w:pPr>
        <w:pStyle w:val="Corpodeltesto0"/>
        <w:shd w:val="clear" w:color="auto" w:fill="auto"/>
        <w:spacing w:after="500"/>
        <w:jc w:val="both"/>
        <w:rPr>
          <w:b/>
          <w:bCs/>
        </w:rPr>
      </w:pPr>
      <w:r>
        <w:rPr>
          <w:b/>
          <w:bCs/>
        </w:rPr>
        <w:t>Allegato 1</w:t>
      </w:r>
      <w:r w:rsidR="0099354C">
        <w:rPr>
          <w:b/>
          <w:bCs/>
        </w:rPr>
        <w:t xml:space="preserve"> alla circ.</w:t>
      </w:r>
    </w:p>
    <w:p w14:paraId="09EAE2B4" w14:textId="77777777" w:rsidR="003E164B" w:rsidRDefault="003E164B" w:rsidP="003E164B">
      <w:pPr>
        <w:pStyle w:val="Corpodeltesto0"/>
        <w:shd w:val="clear" w:color="auto" w:fill="auto"/>
        <w:spacing w:after="500"/>
        <w:jc w:val="both"/>
      </w:pPr>
      <w:r>
        <w:rPr>
          <w:b/>
          <w:bCs/>
        </w:rPr>
        <w:t xml:space="preserve">OGGETTO: </w:t>
      </w:r>
      <w:r>
        <w:t xml:space="preserve">Indicazioni </w:t>
      </w:r>
      <w:r>
        <w:rPr>
          <w:i/>
          <w:iCs/>
        </w:rPr>
        <w:t>procedura per individuazione alunni con Bisogni Educativi Speciali (BES)</w:t>
      </w:r>
    </w:p>
    <w:p w14:paraId="1307C598" w14:textId="77777777" w:rsidR="003E164B" w:rsidRDefault="003E164B" w:rsidP="003E164B">
      <w:pPr>
        <w:pStyle w:val="Corpodeltesto0"/>
        <w:shd w:val="clear" w:color="auto" w:fill="auto"/>
        <w:ind w:firstLine="700"/>
        <w:jc w:val="both"/>
      </w:pPr>
      <w:r>
        <w:t>Nella definizione di BES (bisogni educativi speciali) rientrano le seguenti categorie:</w:t>
      </w:r>
    </w:p>
    <w:p w14:paraId="2C342685" w14:textId="77777777" w:rsidR="003E164B" w:rsidRDefault="003E164B" w:rsidP="003E164B">
      <w:pPr>
        <w:pStyle w:val="Corpodeltesto0"/>
        <w:numPr>
          <w:ilvl w:val="0"/>
          <w:numId w:val="1"/>
        </w:numPr>
        <w:shd w:val="clear" w:color="auto" w:fill="auto"/>
        <w:tabs>
          <w:tab w:val="left" w:pos="1444"/>
        </w:tabs>
        <w:ind w:left="1100"/>
      </w:pPr>
      <w:r>
        <w:t>Disabilità</w:t>
      </w:r>
    </w:p>
    <w:p w14:paraId="67B68F09" w14:textId="77777777" w:rsidR="003E164B" w:rsidRDefault="003E164B" w:rsidP="003E164B">
      <w:pPr>
        <w:pStyle w:val="Corpodeltesto0"/>
        <w:numPr>
          <w:ilvl w:val="0"/>
          <w:numId w:val="1"/>
        </w:numPr>
        <w:shd w:val="clear" w:color="auto" w:fill="auto"/>
        <w:tabs>
          <w:tab w:val="left" w:pos="1444"/>
        </w:tabs>
        <w:ind w:left="1460" w:hanging="360"/>
        <w:jc w:val="both"/>
      </w:pPr>
      <w:r>
        <w:t>Disturbi evolutivi specifici: disturbi dell’apprendimento, deficit del linguaggio, deficit delle abilità non verbali, deficit delle coordinazioni motorie, deficit dell’attenzione e dell'iperattività</w:t>
      </w:r>
    </w:p>
    <w:p w14:paraId="619A3A7D" w14:textId="77777777" w:rsidR="003E164B" w:rsidRDefault="003E164B" w:rsidP="003E164B">
      <w:pPr>
        <w:pStyle w:val="Corpodeltesto0"/>
        <w:numPr>
          <w:ilvl w:val="0"/>
          <w:numId w:val="1"/>
        </w:numPr>
        <w:shd w:val="clear" w:color="auto" w:fill="auto"/>
        <w:tabs>
          <w:tab w:val="left" w:pos="1444"/>
        </w:tabs>
        <w:spacing w:after="260"/>
        <w:ind w:left="1100"/>
      </w:pPr>
      <w:r>
        <w:t>Svantaggio socio-economico, linguistico, culturale, economico.</w:t>
      </w:r>
    </w:p>
    <w:p w14:paraId="74C2AEAA" w14:textId="77777777" w:rsidR="003E164B" w:rsidRDefault="003E164B" w:rsidP="003E164B">
      <w:pPr>
        <w:pStyle w:val="Corpodeltesto0"/>
        <w:shd w:val="clear" w:color="auto" w:fill="auto"/>
        <w:ind w:firstLine="720"/>
        <w:jc w:val="both"/>
      </w:pPr>
      <w:r>
        <w:t>La Direttiva Ministeriale del 27/12/12 “Strumenti di intervento per alunni con bisogni educativi speciali e organizzazione territoriale per l’inclusione scolastica” punta l’attenzione sulla necessità di analizzare i bisogni di ogni alunno ed estende il diritto di tutti gli alunni in difficoltà alla personalizzazione dell’apprendimento nella direzione di una presa in carico complessiva e inclusiva di tutti gli alunni, rimuovendo gli ostacoli nei percorsi di apprendimento e modulando gli apprendimenti di ogni alunno nell'ottica di una scuola sempre più inclusiva.</w:t>
      </w:r>
    </w:p>
    <w:p w14:paraId="6BB3A71E" w14:textId="77777777" w:rsidR="003E164B" w:rsidRDefault="003E164B" w:rsidP="003E164B">
      <w:pPr>
        <w:pStyle w:val="Corpodeltesto0"/>
        <w:shd w:val="clear" w:color="auto" w:fill="auto"/>
        <w:spacing w:after="260"/>
        <w:ind w:firstLine="720"/>
        <w:jc w:val="both"/>
      </w:pPr>
      <w:r>
        <w:t xml:space="preserve">Fermo restando l'obbligo di presentazione delle certificazioni per l'esercizio dei diritti conseguenti alle situazioni di disabilità e di Disturbo Specifico di Apprendimento (DSA), è compito dei Consigli di classe e </w:t>
      </w:r>
      <w:proofErr w:type="spellStart"/>
      <w:r>
        <w:t>lnterclasse</w:t>
      </w:r>
      <w:proofErr w:type="spellEnd"/>
      <w:r>
        <w:t>/</w:t>
      </w:r>
      <w:proofErr w:type="spellStart"/>
      <w:r>
        <w:t>lntersezione</w:t>
      </w:r>
      <w:proofErr w:type="spellEnd"/>
      <w:r>
        <w:t xml:space="preserve">, sulla base di considerazioni pedagogiche e didattiche, indicare in quali altri casi, non ricadenti nei disturbi clinicamente riscontrabili, </w:t>
      </w:r>
      <w:r>
        <w:rPr>
          <w:u w:val="single"/>
        </w:rPr>
        <w:t xml:space="preserve">sia </w:t>
      </w:r>
      <w:r>
        <w:rPr>
          <w:b/>
          <w:bCs/>
          <w:u w:val="single"/>
        </w:rPr>
        <w:t xml:space="preserve">opportuna e necessaria l'adozione di una personalizzazione della didattica </w:t>
      </w:r>
      <w:r>
        <w:rPr>
          <w:u w:val="single"/>
        </w:rPr>
        <w:t xml:space="preserve">ed eventualmente di </w:t>
      </w:r>
      <w:r>
        <w:rPr>
          <w:b/>
          <w:bCs/>
          <w:u w:val="single"/>
        </w:rPr>
        <w:t xml:space="preserve">misure dispensative </w:t>
      </w:r>
      <w:r>
        <w:rPr>
          <w:u w:val="single"/>
        </w:rPr>
        <w:t xml:space="preserve">e </w:t>
      </w:r>
      <w:r>
        <w:rPr>
          <w:b/>
          <w:bCs/>
          <w:u w:val="single"/>
        </w:rPr>
        <w:t>strumenti compensativi</w:t>
      </w:r>
      <w:r>
        <w:rPr>
          <w:b/>
          <w:bCs/>
        </w:rPr>
        <w:t xml:space="preserve"> </w:t>
      </w:r>
      <w:r>
        <w:t>previste dalle Linee guida allegate alla legge 170/2010 formalizzati nel Piano didattico educativo (PDP).</w:t>
      </w:r>
    </w:p>
    <w:p w14:paraId="661F115F" w14:textId="77777777" w:rsidR="003E164B" w:rsidRDefault="003E164B" w:rsidP="003E164B">
      <w:pPr>
        <w:pStyle w:val="Corpodeltesto0"/>
        <w:shd w:val="clear" w:color="auto" w:fill="auto"/>
        <w:ind w:firstLine="700"/>
      </w:pPr>
      <w:r>
        <w:t>Pertanto, i docenti dovranno:</w:t>
      </w:r>
    </w:p>
    <w:p w14:paraId="50EA63DE" w14:textId="1E0B6F85" w:rsidR="003E164B" w:rsidRDefault="003E164B" w:rsidP="003E164B">
      <w:pPr>
        <w:pStyle w:val="Corpodeltesto0"/>
        <w:numPr>
          <w:ilvl w:val="0"/>
          <w:numId w:val="2"/>
        </w:numPr>
        <w:shd w:val="clear" w:color="auto" w:fill="auto"/>
        <w:tabs>
          <w:tab w:val="left" w:pos="327"/>
        </w:tabs>
        <w:jc w:val="both"/>
      </w:pPr>
      <w:r w:rsidRPr="001F3594">
        <w:rPr>
          <w:b/>
        </w:rPr>
        <w:t>individuare</w:t>
      </w:r>
      <w:r w:rsidRPr="003D463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3D4637">
        <w:t>ciascun alunno che presenta</w:t>
      </w:r>
      <w:r>
        <w:t xml:space="preserve"> “</w:t>
      </w:r>
      <w:r w:rsidRPr="003D4637">
        <w:t>bisogni educativi speciali</w:t>
      </w:r>
      <w:r>
        <w:t>”, in base alle osservazioni effettuate;</w:t>
      </w:r>
    </w:p>
    <w:p w14:paraId="4B062D3D" w14:textId="77777777" w:rsidR="003E164B" w:rsidRDefault="003E164B" w:rsidP="003E164B">
      <w:pPr>
        <w:pStyle w:val="Corpodeltesto0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r w:rsidRPr="001F3594">
        <w:rPr>
          <w:b/>
        </w:rPr>
        <w:t>compilare</w:t>
      </w:r>
      <w:r>
        <w:t xml:space="preserve"> la scheda riassuntiva di rilevazione dei bisogni educativi speciali (allegato n. 2).</w:t>
      </w:r>
    </w:p>
    <w:p w14:paraId="47026516" w14:textId="6E6B1B83" w:rsidR="003E164B" w:rsidRDefault="003E164B" w:rsidP="003E164B">
      <w:pPr>
        <w:pStyle w:val="Corpodeltesto0"/>
        <w:shd w:val="clear" w:color="auto" w:fill="auto"/>
        <w:ind w:firstLine="720"/>
        <w:jc w:val="both"/>
      </w:pPr>
      <w:r>
        <w:t xml:space="preserve">Tale scheda riassuntiva dovrà essere </w:t>
      </w:r>
      <w:r w:rsidRPr="001F3594">
        <w:rPr>
          <w:b/>
        </w:rPr>
        <w:t>consegnata</w:t>
      </w:r>
      <w:r>
        <w:t xml:space="preserve">, alle Referenti per l’inclusione </w:t>
      </w:r>
      <w:proofErr w:type="spellStart"/>
      <w:r>
        <w:t>ins</w:t>
      </w:r>
      <w:proofErr w:type="spellEnd"/>
      <w:r>
        <w:t>. Campagnolo Stefania (Infanzia e Primaria) e Alecci Margherita (Secondaria).</w:t>
      </w:r>
    </w:p>
    <w:p w14:paraId="41ECD45C" w14:textId="77777777" w:rsidR="003E164B" w:rsidRDefault="003E164B" w:rsidP="003E164B">
      <w:pPr>
        <w:pStyle w:val="Corpodeltesto0"/>
        <w:shd w:val="clear" w:color="auto" w:fill="auto"/>
        <w:ind w:firstLine="720"/>
        <w:jc w:val="both"/>
      </w:pPr>
      <w:r>
        <w:t xml:space="preserve">A seguire, nei casi ove sia necessario attivare percorsi di studio individualizzati e Personalizzati, verrà redatto il </w:t>
      </w:r>
      <w:r>
        <w:rPr>
          <w:b/>
          <w:bCs/>
        </w:rPr>
        <w:t xml:space="preserve">Piano Didattico Personalizzato (PDP), </w:t>
      </w:r>
      <w:r>
        <w:t>che avrà lo scopo di definire, monitorare e documentare, secondo un’elaborazione collegiale, corresponsabile e partecipata, le strategie di intervento più idonee ed i criteri di valutazione degli apprendimenti che verranno adottati.</w:t>
      </w:r>
    </w:p>
    <w:p w14:paraId="359B9F52" w14:textId="77777777" w:rsidR="003E164B" w:rsidRDefault="003E164B" w:rsidP="003E164B">
      <w:pPr>
        <w:pStyle w:val="Corpodeltesto0"/>
        <w:shd w:val="clear" w:color="auto" w:fill="auto"/>
        <w:ind w:firstLine="740"/>
        <w:jc w:val="both"/>
      </w:pPr>
      <w:r>
        <w:t>Tali piani, concordati con le famiglie ed approvati dai Consigli di classe/ interclasse/ intersezione,</w:t>
      </w:r>
      <w:r w:rsidRPr="008D303F">
        <w:t xml:space="preserve"> </w:t>
      </w:r>
      <w:r>
        <w:t xml:space="preserve">entro la fine di </w:t>
      </w:r>
      <w:proofErr w:type="gramStart"/>
      <w:r>
        <w:t>Novembre</w:t>
      </w:r>
      <w:proofErr w:type="gramEnd"/>
      <w:r>
        <w:t>.</w:t>
      </w:r>
    </w:p>
    <w:p w14:paraId="2E3BD4B9" w14:textId="77777777" w:rsidR="003E164B" w:rsidRDefault="003E164B" w:rsidP="003E164B">
      <w:pPr>
        <w:pStyle w:val="Corpodeltesto0"/>
        <w:shd w:val="clear" w:color="auto" w:fill="auto"/>
        <w:ind w:firstLine="740"/>
        <w:jc w:val="both"/>
      </w:pPr>
      <w:r>
        <w:rPr>
          <w:b/>
          <w:bCs/>
        </w:rPr>
        <w:t xml:space="preserve">Per gli alunni DSA/BES certificati </w:t>
      </w:r>
      <w:r>
        <w:t>i docenti della classe possono consultare la documentazione già prodotta e depositata agli Atti della scuola (fascicolo personale dell’alunno) presso l’ufficio della segreteria didattica; inoltre, possono, dopo una valutazione degli stili di apprendimento dell’alunno, avvalersi degli strumenti compensativi e delle misure dispensative previste dalle Linee guida allegate alla legge n. 170/2010 a cui si fa espresso rinvio.</w:t>
      </w:r>
    </w:p>
    <w:p w14:paraId="485C7F12" w14:textId="77777777" w:rsidR="003E164B" w:rsidRDefault="003E164B" w:rsidP="003E164B">
      <w:pPr>
        <w:pStyle w:val="Corpodeltesto0"/>
        <w:shd w:val="clear" w:color="auto" w:fill="auto"/>
        <w:spacing w:after="240"/>
        <w:ind w:firstLine="740"/>
        <w:jc w:val="both"/>
      </w:pPr>
      <w:r>
        <w:t>Le Referenti per l’inclusione rimangono a disposizione dei docenti per eventuali chiarimenti; sul sito della scuola, inoltre, sono disponibili i format/schemi utilizzabili per la stesura dei PDP.</w:t>
      </w:r>
    </w:p>
    <w:p w14:paraId="1F83A26B" w14:textId="77777777" w:rsidR="003E164B" w:rsidRDefault="003E164B" w:rsidP="003E164B">
      <w:pPr>
        <w:pStyle w:val="Corpodeltesto0"/>
        <w:shd w:val="clear" w:color="auto" w:fill="auto"/>
        <w:jc w:val="both"/>
      </w:pPr>
      <w:r>
        <w:rPr>
          <w:b/>
          <w:bCs/>
        </w:rPr>
        <w:t xml:space="preserve">Normativa di riferimento: </w:t>
      </w:r>
      <w:r>
        <w:t>legge n. 104/92 (per la disabilità)</w:t>
      </w:r>
    </w:p>
    <w:p w14:paraId="17FAA449" w14:textId="77777777" w:rsidR="003E164B" w:rsidRDefault="003E164B" w:rsidP="003E164B">
      <w:pPr>
        <w:pStyle w:val="Corpodeltesto0"/>
        <w:shd w:val="clear" w:color="auto" w:fill="auto"/>
        <w:ind w:left="2860"/>
        <w:jc w:val="both"/>
      </w:pPr>
      <w:r>
        <w:t>legge 170/2010 e allegato</w:t>
      </w:r>
    </w:p>
    <w:p w14:paraId="057D4DF4" w14:textId="77777777" w:rsidR="003E164B" w:rsidRDefault="003E164B" w:rsidP="003E164B">
      <w:pPr>
        <w:pStyle w:val="Corpodeltesto0"/>
        <w:shd w:val="clear" w:color="auto" w:fill="auto"/>
        <w:ind w:left="2860"/>
        <w:jc w:val="both"/>
      </w:pPr>
      <w:r>
        <w:t>legge 53/2003 (tema della personalizzazione)</w:t>
      </w:r>
    </w:p>
    <w:p w14:paraId="33243D6B" w14:textId="77777777" w:rsidR="003E164B" w:rsidRDefault="003E164B" w:rsidP="003E164B">
      <w:pPr>
        <w:pStyle w:val="Corpodeltesto0"/>
        <w:shd w:val="clear" w:color="auto" w:fill="auto"/>
        <w:ind w:left="2860"/>
        <w:jc w:val="both"/>
      </w:pPr>
      <w:proofErr w:type="spellStart"/>
      <w:r>
        <w:t>D.Lgs</w:t>
      </w:r>
      <w:proofErr w:type="spellEnd"/>
      <w:r>
        <w:t xml:space="preserve"> 196/2003 (riservatezza dati personali). </w:t>
      </w:r>
      <w:proofErr w:type="gramStart"/>
      <w:r>
        <w:t>E’</w:t>
      </w:r>
      <w:proofErr w:type="gramEnd"/>
      <w:r>
        <w:t xml:space="preserve"> bene ricordare che nel trattare queste categorie di informazioni gli istituti scolastici devono porre estrema cautela, in conformità al regolamento sui dati sensibili adottato dal Ministero dell’istruzione</w:t>
      </w:r>
    </w:p>
    <w:p w14:paraId="1054F90E" w14:textId="77777777" w:rsidR="003E164B" w:rsidRDefault="003E164B" w:rsidP="003E164B">
      <w:pPr>
        <w:pStyle w:val="Corpodeltesto0"/>
        <w:shd w:val="clear" w:color="auto" w:fill="auto"/>
        <w:spacing w:after="480"/>
        <w:ind w:left="2860"/>
        <w:jc w:val="both"/>
      </w:pPr>
      <w:r>
        <w:t>direttiva ministeriale del 27/12/2012 circolare ministeriale n.8 prot.561del 06/03/2013</w:t>
      </w:r>
    </w:p>
    <w:p w14:paraId="26E356FE" w14:textId="77777777" w:rsidR="003E164B" w:rsidRDefault="003E164B" w:rsidP="003E164B">
      <w:pPr>
        <w:pStyle w:val="Corpodeltesto0"/>
        <w:shd w:val="clear" w:color="auto" w:fill="auto"/>
        <w:rPr>
          <w:b/>
          <w:bCs/>
        </w:rPr>
      </w:pPr>
    </w:p>
    <w:p w14:paraId="7A8D1DFE" w14:textId="77777777" w:rsidR="003E164B" w:rsidRDefault="003E164B" w:rsidP="003E164B">
      <w:pPr>
        <w:pStyle w:val="Corpodeltesto0"/>
        <w:shd w:val="clear" w:color="auto" w:fill="auto"/>
        <w:rPr>
          <w:b/>
          <w:bCs/>
        </w:rPr>
      </w:pPr>
    </w:p>
    <w:p w14:paraId="12C4A3AB" w14:textId="56EF7A2F" w:rsidR="003E164B" w:rsidRDefault="003E164B" w:rsidP="003E164B">
      <w:pPr>
        <w:pStyle w:val="Corpodeltesto0"/>
        <w:shd w:val="clear" w:color="auto" w:fill="auto"/>
      </w:pPr>
      <w:r>
        <w:rPr>
          <w:b/>
          <w:bCs/>
        </w:rPr>
        <w:t>Allegato n.2</w:t>
      </w:r>
      <w:r w:rsidR="0099354C">
        <w:rPr>
          <w:b/>
          <w:bCs/>
        </w:rPr>
        <w:t xml:space="preserve"> alla circ.</w:t>
      </w:r>
    </w:p>
    <w:p w14:paraId="49FD3A63" w14:textId="77777777" w:rsidR="0099354C" w:rsidRDefault="0099354C" w:rsidP="003E164B">
      <w:pPr>
        <w:pStyle w:val="Corpodeltesto0"/>
        <w:shd w:val="clear" w:color="auto" w:fill="auto"/>
        <w:jc w:val="center"/>
        <w:rPr>
          <w:b/>
          <w:bCs/>
        </w:rPr>
      </w:pPr>
    </w:p>
    <w:p w14:paraId="1CC79D7B" w14:textId="191B5E4C" w:rsidR="003E164B" w:rsidRDefault="003E164B" w:rsidP="003E164B">
      <w:pPr>
        <w:pStyle w:val="Corpodeltesto0"/>
        <w:shd w:val="clear" w:color="auto" w:fill="auto"/>
        <w:jc w:val="center"/>
      </w:pPr>
      <w:r>
        <w:rPr>
          <w:b/>
          <w:bCs/>
        </w:rPr>
        <w:t>SCHEDA DI RILEVAZIONE DEI</w:t>
      </w:r>
    </w:p>
    <w:p w14:paraId="30F140AA" w14:textId="315BAF56" w:rsidR="003E164B" w:rsidRDefault="003E164B" w:rsidP="003E164B">
      <w:pPr>
        <w:pStyle w:val="Corpodeltesto0"/>
        <w:shd w:val="clear" w:color="auto" w:fill="auto"/>
        <w:spacing w:after="240"/>
        <w:jc w:val="center"/>
      </w:pPr>
      <w:r>
        <w:rPr>
          <w:b/>
          <w:bCs/>
        </w:rPr>
        <w:t>BISOGNI EDUCATIVI SPECIALI (BES) A.S. 202</w:t>
      </w:r>
      <w:r w:rsidR="0099354C">
        <w:rPr>
          <w:b/>
          <w:bCs/>
        </w:rPr>
        <w:t>3</w:t>
      </w:r>
      <w:r>
        <w:rPr>
          <w:b/>
          <w:bCs/>
        </w:rPr>
        <w:t>/202</w:t>
      </w:r>
      <w:r w:rsidR="0099354C">
        <w:rPr>
          <w:b/>
          <w:bCs/>
        </w:rPr>
        <w:t>4</w:t>
      </w:r>
    </w:p>
    <w:p w14:paraId="324A9073" w14:textId="77777777" w:rsidR="003E164B" w:rsidRDefault="003E164B" w:rsidP="003E164B">
      <w:pPr>
        <w:pStyle w:val="Corpodeltesto0"/>
        <w:shd w:val="clear" w:color="auto" w:fill="auto"/>
        <w:tabs>
          <w:tab w:val="left" w:leader="underscore" w:pos="3624"/>
          <w:tab w:val="left" w:leader="underscore" w:pos="6024"/>
        </w:tabs>
        <w:spacing w:after="240"/>
      </w:pPr>
      <w:r>
        <w:rPr>
          <w:b/>
          <w:bCs/>
        </w:rPr>
        <w:t>Classe</w:t>
      </w:r>
      <w:r>
        <w:rPr>
          <w:b/>
          <w:bCs/>
        </w:rPr>
        <w:tab/>
      </w:r>
      <w:proofErr w:type="spellStart"/>
      <w:r>
        <w:rPr>
          <w:b/>
          <w:bCs/>
        </w:rPr>
        <w:t>sezione_________Plesso</w:t>
      </w:r>
      <w:proofErr w:type="spellEnd"/>
      <w:r>
        <w:rPr>
          <w:b/>
          <w:bCs/>
        </w:rPr>
        <w:t>__________________</w:t>
      </w:r>
    </w:p>
    <w:p w14:paraId="71946BAF" w14:textId="77777777" w:rsidR="003E164B" w:rsidRDefault="003E164B" w:rsidP="003E164B">
      <w:pPr>
        <w:pStyle w:val="Didascaliatabella0"/>
        <w:shd w:val="clear" w:color="auto" w:fill="auto"/>
        <w:tabs>
          <w:tab w:val="left" w:pos="5774"/>
        </w:tabs>
        <w:ind w:left="91"/>
      </w:pPr>
      <w:r>
        <w:t>Descrizione dei casi di bisogno educativo speciale per cui vengono richiesti strumenti di flessibilità da impiegare nell’azione educativo-didattica:</w:t>
      </w:r>
      <w:r>
        <w:tab/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2674"/>
        <w:gridCol w:w="3086"/>
        <w:gridCol w:w="2126"/>
      </w:tblGrid>
      <w:tr w:rsidR="003E164B" w14:paraId="19698BE8" w14:textId="77777777" w:rsidTr="00E43D8B">
        <w:trPr>
          <w:trHeight w:hRule="exact" w:val="54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40598" w14:textId="77777777" w:rsidR="003E164B" w:rsidRDefault="003E164B" w:rsidP="00E43D8B">
            <w:pPr>
              <w:pStyle w:val="Altro0"/>
              <w:shd w:val="clear" w:color="auto" w:fill="auto"/>
              <w:jc w:val="center"/>
            </w:pPr>
            <w:r>
              <w:rPr>
                <w:b/>
                <w:bCs/>
              </w:rPr>
              <w:t>Alunno/a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77D25" w14:textId="77777777" w:rsidR="003E164B" w:rsidRDefault="003E164B" w:rsidP="00E43D8B">
            <w:pPr>
              <w:pStyle w:val="Altro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Tipi di BES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8E7FB" w14:textId="77777777" w:rsidR="003E164B" w:rsidRDefault="003E164B" w:rsidP="00E43D8B">
            <w:pPr>
              <w:pStyle w:val="Altro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Modalità di intervento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6578" w14:textId="77777777" w:rsidR="003E164B" w:rsidRDefault="003E164B" w:rsidP="00E43D8B">
            <w:pPr>
              <w:pStyle w:val="Altro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Programmazione incontri </w:t>
            </w:r>
          </w:p>
        </w:tc>
      </w:tr>
      <w:tr w:rsidR="003E164B" w14:paraId="181B3E0D" w14:textId="77777777" w:rsidTr="00E43D8B">
        <w:trPr>
          <w:trHeight w:hRule="exact" w:val="77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8F88F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3F0C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37292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F2DC2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  <w:tr w:rsidR="003E164B" w14:paraId="74D14311" w14:textId="77777777" w:rsidTr="00E43D8B">
        <w:trPr>
          <w:trHeight w:hRule="exact" w:val="78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832A4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A713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57A83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9E209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  <w:tr w:rsidR="003E164B" w14:paraId="5747A234" w14:textId="77777777" w:rsidTr="00E43D8B">
        <w:trPr>
          <w:trHeight w:hRule="exact" w:val="79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CE2D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05682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A1FA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9CB44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  <w:tr w:rsidR="003E164B" w14:paraId="309668F5" w14:textId="77777777" w:rsidTr="00E43D8B">
        <w:trPr>
          <w:trHeight w:hRule="exact" w:val="77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8F10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B4169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48DC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D1975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  <w:tr w:rsidR="003E164B" w14:paraId="016AE371" w14:textId="77777777" w:rsidTr="00E43D8B">
        <w:trPr>
          <w:trHeight w:hRule="exact" w:val="77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5579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CCDF6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62963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E9EB2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  <w:tr w:rsidR="003E164B" w14:paraId="51BBB7EA" w14:textId="77777777" w:rsidTr="00E43D8B">
        <w:trPr>
          <w:trHeight w:hRule="exact" w:val="77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122E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A6E64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9C520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C2B74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  <w:tr w:rsidR="003E164B" w14:paraId="33BDB33D" w14:textId="77777777" w:rsidTr="00E43D8B">
        <w:trPr>
          <w:trHeight w:hRule="exact" w:val="77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B5D62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A361E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AFB9B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359ED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  <w:tr w:rsidR="003E164B" w14:paraId="441BE8D1" w14:textId="77777777" w:rsidTr="00E43D8B">
        <w:trPr>
          <w:trHeight w:hRule="exact" w:val="106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1F258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AE2DF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E7B19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5521D" w14:textId="77777777" w:rsidR="003E164B" w:rsidRDefault="003E164B" w:rsidP="00E43D8B">
            <w:pPr>
              <w:rPr>
                <w:sz w:val="10"/>
                <w:szCs w:val="10"/>
              </w:rPr>
            </w:pPr>
          </w:p>
        </w:tc>
      </w:tr>
    </w:tbl>
    <w:p w14:paraId="36F69EC9" w14:textId="77777777" w:rsidR="003E164B" w:rsidRDefault="003E164B" w:rsidP="003E164B">
      <w:pPr>
        <w:spacing w:line="143" w:lineRule="exact"/>
        <w:rPr>
          <w:sz w:val="11"/>
          <w:szCs w:val="11"/>
        </w:rPr>
      </w:pPr>
    </w:p>
    <w:p w14:paraId="77BC65C3" w14:textId="77777777" w:rsidR="003E164B" w:rsidRDefault="003E164B" w:rsidP="003E164B">
      <w:pPr>
        <w:pStyle w:val="Corpodeltesto0"/>
        <w:shd w:val="clear" w:color="auto" w:fill="auto"/>
      </w:pPr>
      <w:r>
        <w:rPr>
          <w:b/>
          <w:bCs/>
        </w:rPr>
        <w:t xml:space="preserve">Tipi di BES </w:t>
      </w:r>
    </w:p>
    <w:p w14:paraId="1198E34D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24"/>
        </w:tabs>
        <w:ind w:firstLine="380"/>
      </w:pPr>
      <w:r>
        <w:t>Carenze affettivo-relazionali</w:t>
      </w:r>
    </w:p>
    <w:p w14:paraId="3154C562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difficoltà di apprendimento</w:t>
      </w:r>
    </w:p>
    <w:p w14:paraId="1C251439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disagio economico</w:t>
      </w:r>
    </w:p>
    <w:p w14:paraId="55859D75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left="740" w:hanging="360"/>
      </w:pPr>
      <w:r>
        <w:t>Funzionamento intellettivo limite (FIL) certificato</w:t>
      </w:r>
    </w:p>
    <w:p w14:paraId="01F667AD" w14:textId="1B06C974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left="740" w:hanging="360"/>
        <w:jc w:val="both"/>
      </w:pPr>
      <w:r>
        <w:t>disturbo specifico di apprendimento DSA certificato (indicare Ente che certifica)</w:t>
      </w:r>
    </w:p>
    <w:p w14:paraId="64F406FA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r>
        <w:t>disagio sociale /divario culturale</w:t>
      </w:r>
    </w:p>
    <w:p w14:paraId="00BC8855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Altro disturbo evolutivo specifico certificato.</w:t>
      </w:r>
    </w:p>
    <w:p w14:paraId="5BC6D163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left="740" w:hanging="360"/>
      </w:pPr>
      <w:r>
        <w:t>Disturbo da deficit di attenzione e iperattività (specificare se certificato ed Ente che certifica)</w:t>
      </w:r>
    </w:p>
    <w:p w14:paraId="755B98C2" w14:textId="77777777" w:rsidR="003E164B" w:rsidRDefault="003E164B" w:rsidP="003E164B">
      <w:pPr>
        <w:pStyle w:val="Corpodeltesto0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divario linguistico</w:t>
      </w:r>
    </w:p>
    <w:p w14:paraId="56002EF4" w14:textId="77777777" w:rsidR="003E164B" w:rsidRDefault="003E164B" w:rsidP="003E164B">
      <w:pPr>
        <w:pStyle w:val="Corpodeltesto0"/>
        <w:shd w:val="clear" w:color="auto" w:fill="auto"/>
        <w:tabs>
          <w:tab w:val="left" w:pos="844"/>
          <w:tab w:val="left" w:leader="dot" w:pos="3255"/>
          <w:tab w:val="left" w:leader="dot" w:pos="4710"/>
        </w:tabs>
        <w:ind w:left="380"/>
        <w:jc w:val="both"/>
      </w:pPr>
    </w:p>
    <w:p w14:paraId="601636CF" w14:textId="77777777" w:rsidR="003E164B" w:rsidRDefault="003E164B" w:rsidP="003E164B">
      <w:pPr>
        <w:pStyle w:val="Corpodeltesto0"/>
        <w:shd w:val="clear" w:color="auto" w:fill="auto"/>
        <w:rPr>
          <w:b/>
          <w:bCs/>
        </w:rPr>
      </w:pPr>
    </w:p>
    <w:p w14:paraId="4F4179D1" w14:textId="77777777" w:rsidR="003E164B" w:rsidRDefault="003E164B" w:rsidP="003E164B">
      <w:pPr>
        <w:pStyle w:val="Corpodeltesto0"/>
        <w:shd w:val="clear" w:color="auto" w:fill="auto"/>
      </w:pPr>
      <w:r>
        <w:rPr>
          <w:b/>
          <w:bCs/>
        </w:rPr>
        <w:t xml:space="preserve">Modalità di intervento </w:t>
      </w:r>
    </w:p>
    <w:p w14:paraId="1DEB1FDE" w14:textId="77777777" w:rsidR="003E164B" w:rsidRDefault="003E164B" w:rsidP="003E164B">
      <w:pPr>
        <w:pStyle w:val="Corpodeltesto0"/>
        <w:numPr>
          <w:ilvl w:val="0"/>
          <w:numId w:val="4"/>
        </w:numPr>
        <w:shd w:val="clear" w:color="auto" w:fill="auto"/>
        <w:tabs>
          <w:tab w:val="left" w:pos="738"/>
        </w:tabs>
        <w:ind w:firstLine="380"/>
        <w:jc w:val="both"/>
      </w:pPr>
      <w:r>
        <w:t>PDP (piano didattico personalizzato)</w:t>
      </w:r>
    </w:p>
    <w:p w14:paraId="6032526D" w14:textId="77777777" w:rsidR="003E164B" w:rsidRDefault="003E164B" w:rsidP="003E164B">
      <w:pPr>
        <w:pStyle w:val="Corpodeltesto0"/>
        <w:numPr>
          <w:ilvl w:val="0"/>
          <w:numId w:val="4"/>
        </w:numPr>
        <w:shd w:val="clear" w:color="auto" w:fill="auto"/>
        <w:tabs>
          <w:tab w:val="left" w:pos="738"/>
        </w:tabs>
        <w:spacing w:after="240"/>
        <w:ind w:left="740" w:hanging="360"/>
        <w:jc w:val="both"/>
      </w:pPr>
      <w:r>
        <w:t>Altre scelte didattiche che non comportino la stesura del PDP</w:t>
      </w:r>
      <w:bookmarkStart w:id="0" w:name="_GoBack"/>
      <w:bookmarkEnd w:id="0"/>
    </w:p>
    <w:sectPr w:rsidR="003E164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8ABFE" w14:textId="77777777" w:rsidR="000868C8" w:rsidRDefault="000868C8">
      <w:r>
        <w:separator/>
      </w:r>
    </w:p>
  </w:endnote>
  <w:endnote w:type="continuationSeparator" w:id="0">
    <w:p w14:paraId="283BCC8D" w14:textId="77777777" w:rsidR="000868C8" w:rsidRDefault="000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3CFF" w14:textId="77777777" w:rsidR="00B60284" w:rsidRDefault="000868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05B1" w14:textId="77777777" w:rsidR="000868C8" w:rsidRDefault="000868C8">
      <w:r>
        <w:separator/>
      </w:r>
    </w:p>
  </w:footnote>
  <w:footnote w:type="continuationSeparator" w:id="0">
    <w:p w14:paraId="38BD1B8C" w14:textId="77777777" w:rsidR="000868C8" w:rsidRDefault="0008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C76"/>
    <w:multiLevelType w:val="multilevel"/>
    <w:tmpl w:val="941A2C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46C68"/>
    <w:multiLevelType w:val="multilevel"/>
    <w:tmpl w:val="5770FE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776229"/>
    <w:multiLevelType w:val="multilevel"/>
    <w:tmpl w:val="FD30C4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AF2290"/>
    <w:multiLevelType w:val="multilevel"/>
    <w:tmpl w:val="34AC14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4B"/>
    <w:rsid w:val="00013E55"/>
    <w:rsid w:val="000868C8"/>
    <w:rsid w:val="002A0F64"/>
    <w:rsid w:val="003E164B"/>
    <w:rsid w:val="00447026"/>
    <w:rsid w:val="00505ED6"/>
    <w:rsid w:val="00722F5E"/>
    <w:rsid w:val="0092241A"/>
    <w:rsid w:val="009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552C"/>
  <w15:chartTrackingRefBased/>
  <w15:docId w15:val="{45AF3BB1-DAD0-42E6-9E3B-3EF0C0EC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164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tro">
    <w:name w:val="Altro_"/>
    <w:basedOn w:val="Carpredefinitoparagrafo"/>
    <w:link w:val="Altro0"/>
    <w:rsid w:val="003E164B"/>
    <w:rPr>
      <w:rFonts w:ascii="Arial" w:eastAsia="Arial" w:hAnsi="Arial" w:cs="Arial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0"/>
    <w:rsid w:val="003E164B"/>
    <w:rPr>
      <w:rFonts w:ascii="Arial" w:eastAsia="Arial" w:hAnsi="Arial" w:cs="Arial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3E164B"/>
    <w:rPr>
      <w:rFonts w:ascii="Arial" w:eastAsia="Arial" w:hAnsi="Arial" w:cs="Arial"/>
      <w:shd w:val="clear" w:color="auto" w:fill="FFFFFF"/>
    </w:rPr>
  </w:style>
  <w:style w:type="paragraph" w:customStyle="1" w:styleId="Altro0">
    <w:name w:val="Altro"/>
    <w:basedOn w:val="Normale"/>
    <w:link w:val="Altro"/>
    <w:rsid w:val="003E164B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Corpodeltesto0">
    <w:name w:val="Corpo del testo"/>
    <w:basedOn w:val="Normale"/>
    <w:link w:val="Corpodeltesto"/>
    <w:rsid w:val="003E164B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idascaliatabella0">
    <w:name w:val="Didascalia tabella"/>
    <w:basedOn w:val="Normale"/>
    <w:link w:val="Didascaliatabella"/>
    <w:rsid w:val="003E164B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2023-10-24T11:16:00Z</dcterms:created>
  <dcterms:modified xsi:type="dcterms:W3CDTF">2023-10-24T11:38:00Z</dcterms:modified>
</cp:coreProperties>
</file>